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0141" w14:textId="77777777" w:rsidR="00C14A22" w:rsidRDefault="003C3865">
      <w:r>
        <w:t xml:space="preserve">    </w:t>
      </w:r>
      <w:r w:rsidR="000535BF">
        <w:tab/>
      </w:r>
      <w:r w:rsidR="000535BF" w:rsidRPr="000535BF">
        <w:rPr>
          <w:noProof/>
        </w:rPr>
        <w:drawing>
          <wp:inline distT="0" distB="0" distL="0" distR="0" wp14:anchorId="332EBB8D" wp14:editId="22DDD456">
            <wp:extent cx="1409700" cy="914400"/>
            <wp:effectExtent l="19050" t="0" r="0" b="0"/>
            <wp:docPr id="4" name="Immagine 1" descr="Unione europea – logo a 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8" descr="Unione europea – logo a color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5BF">
        <w:tab/>
      </w:r>
      <w:r w:rsidR="00D63924">
        <w:tab/>
      </w:r>
      <w:r>
        <w:t xml:space="preserve">      </w:t>
      </w:r>
      <w:r w:rsidR="000535BF" w:rsidRPr="000535BF">
        <w:rPr>
          <w:noProof/>
        </w:rPr>
        <w:drawing>
          <wp:inline distT="0" distB="0" distL="0" distR="0" wp14:anchorId="33279EFD" wp14:editId="120B2F26">
            <wp:extent cx="685800" cy="733425"/>
            <wp:effectExtent l="19050" t="0" r="0" b="0"/>
            <wp:docPr id="5" name="Immagine 5" descr="emblema_m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1" descr="emblema_m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D63924">
        <w:tab/>
      </w:r>
      <w:r w:rsidR="00D63924">
        <w:tab/>
      </w:r>
      <w:r>
        <w:t xml:space="preserve">    </w:t>
      </w:r>
      <w:r w:rsidR="000535BF">
        <w:tab/>
      </w:r>
      <w:r w:rsidR="000535BF" w:rsidRPr="000535BF">
        <w:rPr>
          <w:noProof/>
        </w:rPr>
        <w:drawing>
          <wp:inline distT="0" distB="0" distL="0" distR="0" wp14:anchorId="521C731C" wp14:editId="2878DCC1">
            <wp:extent cx="476250" cy="685800"/>
            <wp:effectExtent l="19050" t="0" r="0" b="0"/>
            <wp:docPr id="9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AD150" w14:textId="77777777" w:rsidR="00344C6A" w:rsidRPr="00B70189" w:rsidRDefault="00D63924" w:rsidP="00D63924">
      <w:pPr>
        <w:pStyle w:val="Contenutocornice"/>
        <w:rPr>
          <w:sz w:val="16"/>
        </w:rPr>
      </w:pPr>
      <w:r>
        <w:rPr>
          <w:color w:val="000000"/>
          <w:sz w:val="14"/>
          <w:szCs w:val="20"/>
        </w:rPr>
        <w:t xml:space="preserve">                                         </w:t>
      </w:r>
      <w:r w:rsidR="00344C6A" w:rsidRPr="00B70189">
        <w:rPr>
          <w:color w:val="000000"/>
          <w:sz w:val="14"/>
          <w:szCs w:val="20"/>
        </w:rPr>
        <w:t>UNIONE EUROPEA</w:t>
      </w:r>
      <w:r w:rsidR="00344C6A">
        <w:rPr>
          <w:color w:val="000000"/>
          <w:sz w:val="14"/>
          <w:szCs w:val="20"/>
        </w:rPr>
        <w:t xml:space="preserve">  </w:t>
      </w:r>
      <w:r>
        <w:t xml:space="preserve">          </w:t>
      </w:r>
      <w:r w:rsidR="00344C6A">
        <w:t xml:space="preserve"> </w:t>
      </w:r>
      <w:r>
        <w:t xml:space="preserve">                                </w:t>
      </w:r>
      <w:r w:rsidR="00344C6A" w:rsidRPr="00B70189">
        <w:rPr>
          <w:color w:val="000000"/>
          <w:sz w:val="14"/>
          <w:szCs w:val="20"/>
        </w:rPr>
        <w:t>REPUBBLICA ITALIANA</w:t>
      </w:r>
    </w:p>
    <w:p w14:paraId="6BDCB477" w14:textId="77777777" w:rsidR="000535BF" w:rsidRDefault="000535BF"/>
    <w:p w14:paraId="0D04213C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727BB2C4" w14:textId="77777777" w:rsidR="00FA7991" w:rsidRDefault="00FA7991" w:rsidP="00FA7991">
      <w:pPr>
        <w:jc w:val="both"/>
        <w:rPr>
          <w:rFonts w:ascii="Times New Roman" w:hAnsi="Times New Roman" w:cs="Times New Roman"/>
          <w:b/>
          <w:bCs/>
        </w:rPr>
      </w:pPr>
      <w:r w:rsidRPr="00324134">
        <w:rPr>
          <w:rFonts w:ascii="Times New Roman" w:hAnsi="Times New Roman" w:cs="Times New Roman"/>
          <w:b/>
          <w:bCs/>
        </w:rPr>
        <w:t>Nell’area della Liguria di Levante la reintroduzione di vecchi genotipi di frumento tenero è aiutata grazie allo sviluppo ed applicazione di biofertilizzanti a base di microorganismi locali: il gruppo operativo CORNELIA</w:t>
      </w:r>
    </w:p>
    <w:p w14:paraId="0E85FD58" w14:textId="77777777" w:rsidR="00FA7991" w:rsidRPr="00324134" w:rsidRDefault="00FA7991" w:rsidP="00FA799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Autore: Elisa Pellegrino, Scuola Superiore Sant’Anna, Pisa</w:t>
      </w:r>
    </w:p>
    <w:p w14:paraId="4554E16D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6458DEDF" w14:textId="77777777" w:rsidR="00FA7991" w:rsidRPr="006E6004" w:rsidRDefault="00FA7991" w:rsidP="00FA7991">
      <w:pPr>
        <w:jc w:val="both"/>
        <w:rPr>
          <w:rFonts w:ascii="Times New Roman" w:hAnsi="Times New Roman" w:cs="Times New Roman"/>
        </w:rPr>
      </w:pPr>
      <w:r w:rsidRPr="005E29AA">
        <w:rPr>
          <w:rFonts w:ascii="Times New Roman" w:hAnsi="Times New Roman" w:cs="Times New Roman"/>
        </w:rPr>
        <w:t>Nell’area della Liguria di Levante e nello specifico nell</w:t>
      </w:r>
      <w:r>
        <w:rPr>
          <w:rFonts w:ascii="Times New Roman" w:hAnsi="Times New Roman" w:cs="Times New Roman"/>
        </w:rPr>
        <w:t>’</w:t>
      </w:r>
      <w:r w:rsidRPr="005E29AA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>a</w:t>
      </w:r>
      <w:r w:rsidRPr="005E29AA">
        <w:rPr>
          <w:rFonts w:ascii="Times New Roman" w:hAnsi="Times New Roman" w:cs="Times New Roman"/>
        </w:rPr>
        <w:t xml:space="preserve"> agricol</w:t>
      </w:r>
      <w:r>
        <w:rPr>
          <w:rFonts w:ascii="Times New Roman" w:hAnsi="Times New Roman" w:cs="Times New Roman"/>
        </w:rPr>
        <w:t>a</w:t>
      </w:r>
      <w:r w:rsidRPr="005E29AA">
        <w:rPr>
          <w:rFonts w:ascii="Times New Roman" w:hAnsi="Times New Roman" w:cs="Times New Roman"/>
        </w:rPr>
        <w:t xml:space="preserve"> della Provincia di La Spezia è in corso un progetto </w:t>
      </w:r>
      <w:r>
        <w:rPr>
          <w:rFonts w:ascii="Times New Roman" w:hAnsi="Times New Roman" w:cs="Times New Roman"/>
        </w:rPr>
        <w:t xml:space="preserve">finanziato nel 2020 dal </w:t>
      </w:r>
      <w:r w:rsidRPr="00CD2CCE">
        <w:rPr>
          <w:rFonts w:ascii="Times New Roman" w:hAnsi="Times New Roman" w:cs="Times New Roman"/>
        </w:rPr>
        <w:t>Programma di Sviluppo Rurale 2014-2020 della Regione Liguria</w:t>
      </w:r>
      <w:r>
        <w:rPr>
          <w:rFonts w:ascii="Times New Roman" w:hAnsi="Times New Roman" w:cs="Times New Roman"/>
        </w:rPr>
        <w:t xml:space="preserve"> (Misura </w:t>
      </w:r>
      <w:r w:rsidRPr="00CD2CCE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C</w:t>
      </w:r>
      <w:r w:rsidRPr="00CD2CCE">
        <w:rPr>
          <w:rFonts w:ascii="Times New Roman" w:hAnsi="Times New Roman" w:cs="Times New Roman"/>
        </w:rPr>
        <w:t xml:space="preserve">ooperazione </w:t>
      </w:r>
      <w:r>
        <w:rPr>
          <w:rFonts w:ascii="Times New Roman" w:hAnsi="Times New Roman" w:cs="Times New Roman"/>
        </w:rPr>
        <w:t xml:space="preserve">- </w:t>
      </w:r>
      <w:r w:rsidRPr="00CD2CCE">
        <w:rPr>
          <w:rFonts w:ascii="Times New Roman" w:hAnsi="Times New Roman" w:cs="Times New Roman"/>
        </w:rPr>
        <w:t>Aiuti per la costituzione e l'operatività dei gruppi operativi PEI</w:t>
      </w:r>
      <w:r>
        <w:rPr>
          <w:rFonts w:ascii="Times New Roman" w:hAnsi="Times New Roman" w:cs="Times New Roman"/>
        </w:rPr>
        <w:t xml:space="preserve">, </w:t>
      </w:r>
      <w:r w:rsidRPr="00CD2CCE">
        <w:rPr>
          <w:rFonts w:ascii="Times New Roman" w:hAnsi="Times New Roman" w:cs="Times New Roman"/>
        </w:rPr>
        <w:t>settore AGRICOLO</w:t>
      </w:r>
      <w:r>
        <w:rPr>
          <w:rFonts w:ascii="Times New Roman" w:hAnsi="Times New Roman" w:cs="Times New Roman"/>
        </w:rPr>
        <w:t xml:space="preserve">). Il progetto </w:t>
      </w:r>
      <w:r w:rsidRPr="00FA3AA3">
        <w:rPr>
          <w:rFonts w:ascii="Times New Roman" w:hAnsi="Times New Roman" w:cs="Times New Roman"/>
          <w:b/>
          <w:bCs/>
        </w:rPr>
        <w:t>CORNELIA</w:t>
      </w:r>
      <w:r>
        <w:rPr>
          <w:rFonts w:ascii="Times New Roman" w:hAnsi="Times New Roman" w:cs="Times New Roman"/>
        </w:rPr>
        <w:t xml:space="preserve"> mira allo</w:t>
      </w:r>
      <w:r w:rsidRPr="005E2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E29AA">
        <w:rPr>
          <w:rFonts w:ascii="Times New Roman" w:hAnsi="Times New Roman" w:cs="Times New Roman"/>
        </w:rPr>
        <w:t>viluppo e applicazione di consorzi microbici per aumentare l’efficienza di utilizzazione dei nutrienti e la capacità di difesa da stress biotici e abiotici del frumento</w:t>
      </w:r>
      <w:r>
        <w:rPr>
          <w:rFonts w:ascii="Times New Roman" w:hAnsi="Times New Roman" w:cs="Times New Roman"/>
        </w:rPr>
        <w:t xml:space="preserve"> tenero (</w:t>
      </w:r>
      <w:proofErr w:type="spellStart"/>
      <w:r w:rsidRPr="00FA3AA3">
        <w:rPr>
          <w:rFonts w:ascii="Times New Roman" w:hAnsi="Times New Roman" w:cs="Times New Roman"/>
          <w:b/>
          <w:bCs/>
        </w:rPr>
        <w:t>facebook</w:t>
      </w:r>
      <w:proofErr w:type="spellEnd"/>
      <w:r w:rsidRPr="00FA3AA3">
        <w:rPr>
          <w:rFonts w:ascii="Times New Roman" w:hAnsi="Times New Roman" w:cs="Times New Roman"/>
          <w:b/>
          <w:bCs/>
        </w:rPr>
        <w:t xml:space="preserve"> link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Pr="00781B62">
          <w:rPr>
            <w:rStyle w:val="Collegamentoipertestuale"/>
            <w:rFonts w:ascii="Times New Roman" w:hAnsi="Times New Roman" w:cs="Times New Roman"/>
          </w:rPr>
          <w:t>https://www.facebook.com/Cornelia-Gruppo-Operativo-Regione-Liguria-117624440145703</w:t>
        </w:r>
      </w:hyperlink>
      <w:r>
        <w:rPr>
          <w:rFonts w:ascii="Times New Roman" w:hAnsi="Times New Roman" w:cs="Times New Roman"/>
        </w:rPr>
        <w:t xml:space="preserve">; </w:t>
      </w:r>
      <w:r w:rsidRPr="00FA3AA3">
        <w:rPr>
          <w:rFonts w:ascii="Times New Roman" w:hAnsi="Times New Roman" w:cs="Times New Roman"/>
          <w:b/>
          <w:bCs/>
        </w:rPr>
        <w:t>sito web</w:t>
      </w:r>
      <w:r>
        <w:rPr>
          <w:rFonts w:ascii="Times New Roman" w:hAnsi="Times New Roman" w:cs="Times New Roman"/>
        </w:rPr>
        <w:t xml:space="preserve">: </w:t>
      </w:r>
      <w:hyperlink r:id="rId8" w:history="1">
        <w:r w:rsidRPr="00781B62">
          <w:rPr>
            <w:rStyle w:val="Collegamentoipertestuale"/>
            <w:rFonts w:ascii="Times New Roman" w:hAnsi="Times New Roman" w:cs="Times New Roman"/>
          </w:rPr>
          <w:t>https://sites.google.com/view/cornelia-liguria</w:t>
        </w:r>
      </w:hyperlink>
      <w:r>
        <w:rPr>
          <w:rFonts w:ascii="Times New Roman" w:hAnsi="Times New Roman" w:cs="Times New Roman"/>
        </w:rPr>
        <w:t xml:space="preserve">; </w:t>
      </w:r>
      <w:r w:rsidRPr="0054320E">
        <w:rPr>
          <w:rFonts w:ascii="Times New Roman" w:hAnsi="Times New Roman" w:cs="Times New Roman"/>
          <w:b/>
          <w:bCs/>
        </w:rPr>
        <w:t>Fig. 1</w:t>
      </w:r>
      <w:r>
        <w:rPr>
          <w:rFonts w:ascii="Times New Roman" w:hAnsi="Times New Roman" w:cs="Times New Roman"/>
        </w:rPr>
        <w:t>)</w:t>
      </w:r>
      <w:r w:rsidRPr="005E29AA">
        <w:rPr>
          <w:rFonts w:ascii="Times New Roman" w:hAnsi="Times New Roman" w:cs="Times New Roman"/>
        </w:rPr>
        <w:t xml:space="preserve">. Il </w:t>
      </w:r>
      <w:r w:rsidRPr="00FA3AA3">
        <w:rPr>
          <w:rFonts w:ascii="Times New Roman" w:hAnsi="Times New Roman" w:cs="Times New Roman"/>
          <w:b/>
          <w:bCs/>
        </w:rPr>
        <w:t xml:space="preserve">CORNELIA </w:t>
      </w:r>
      <w:r>
        <w:rPr>
          <w:rFonts w:ascii="Times New Roman" w:hAnsi="Times New Roman" w:cs="Times New Roman"/>
        </w:rPr>
        <w:t>ha come</w:t>
      </w:r>
      <w:r w:rsidRPr="005E29AA">
        <w:rPr>
          <w:rFonts w:ascii="Times New Roman" w:hAnsi="Times New Roman" w:cs="Times New Roman"/>
        </w:rPr>
        <w:t xml:space="preserve"> capofila e partner scientifico la Scuola Superiore Sant’Anna di Pisa (SSSA) con Elisa Pellegrino, ricercatrice in Agronomia e Coltivazioni Erbacee</w:t>
      </w:r>
      <w:r>
        <w:rPr>
          <w:rFonts w:ascii="Times New Roman" w:hAnsi="Times New Roman" w:cs="Times New Roman"/>
        </w:rPr>
        <w:t>, come responsabile. T</w:t>
      </w:r>
      <w:r w:rsidRPr="005E29AA">
        <w:rPr>
          <w:rFonts w:ascii="Times New Roman" w:hAnsi="Times New Roman" w:cs="Times New Roman"/>
        </w:rPr>
        <w:t xml:space="preserve">re aziende agricole </w:t>
      </w:r>
      <w:r>
        <w:rPr>
          <w:rFonts w:ascii="Times New Roman" w:hAnsi="Times New Roman" w:cs="Times New Roman"/>
        </w:rPr>
        <w:t>rappresentano i</w:t>
      </w:r>
      <w:r w:rsidRPr="005E29AA">
        <w:rPr>
          <w:rFonts w:ascii="Times New Roman" w:hAnsi="Times New Roman" w:cs="Times New Roman"/>
        </w:rPr>
        <w:t xml:space="preserve"> partner </w:t>
      </w:r>
      <w:r>
        <w:rPr>
          <w:rFonts w:ascii="Times New Roman" w:hAnsi="Times New Roman" w:cs="Times New Roman"/>
        </w:rPr>
        <w:t>aziendali in</w:t>
      </w:r>
      <w:r w:rsidRPr="005E29AA">
        <w:rPr>
          <w:rFonts w:ascii="Times New Roman" w:hAnsi="Times New Roman" w:cs="Times New Roman"/>
        </w:rPr>
        <w:t xml:space="preserve"> convenzionale, biologico e conversione al biologico, e cioè la Società Cooperativa agricola I Castelli di Bolano</w:t>
      </w:r>
      <w:r>
        <w:rPr>
          <w:rFonts w:ascii="Times New Roman" w:hAnsi="Times New Roman" w:cs="Times New Roman"/>
        </w:rPr>
        <w:t xml:space="preserve"> La Spezia (responsabile progetto-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 xml:space="preserve">: Augusto </w:t>
      </w:r>
      <w:proofErr w:type="spellStart"/>
      <w:r>
        <w:rPr>
          <w:rFonts w:ascii="Times New Roman" w:hAnsi="Times New Roman" w:cs="Times New Roman"/>
        </w:rPr>
        <w:t>Valese</w:t>
      </w:r>
      <w:proofErr w:type="spellEnd"/>
      <w:r>
        <w:rPr>
          <w:rFonts w:ascii="Times New Roman" w:hAnsi="Times New Roman" w:cs="Times New Roman"/>
        </w:rPr>
        <w:t>)</w:t>
      </w:r>
      <w:r w:rsidRPr="005E29AA">
        <w:rPr>
          <w:rFonts w:ascii="Times New Roman" w:hAnsi="Times New Roman" w:cs="Times New Roman"/>
        </w:rPr>
        <w:t xml:space="preserve">, la Società Agricola Anima Ligure di Sarzana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 xml:space="preserve">: Raffella Fontana) e </w:t>
      </w:r>
      <w:r w:rsidRPr="005E29AA">
        <w:rPr>
          <w:rFonts w:ascii="Times New Roman" w:hAnsi="Times New Roman" w:cs="Times New Roman"/>
        </w:rPr>
        <w:t>la Società agricola il Sicomoro s.r.l. di La Spezia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>: Alessandro Ferrante)</w:t>
      </w:r>
      <w:r w:rsidRPr="005E29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Inoltre, tra i partner, </w:t>
      </w:r>
      <w:r w:rsidRPr="006D0F4E">
        <w:rPr>
          <w:rFonts w:ascii="Times New Roman" w:hAnsi="Times New Roman" w:cs="Times New Roman"/>
        </w:rPr>
        <w:t xml:space="preserve">CIPA - AT Centro Istruzione Professionale Agricola - Assistenza tecnica </w:t>
      </w:r>
      <w:r>
        <w:rPr>
          <w:rFonts w:ascii="Times New Roman" w:hAnsi="Times New Roman" w:cs="Times New Roman"/>
        </w:rPr>
        <w:t xml:space="preserve">di </w:t>
      </w:r>
      <w:r w:rsidRPr="006D0F4E">
        <w:rPr>
          <w:rFonts w:ascii="Times New Roman" w:hAnsi="Times New Roman" w:cs="Times New Roman"/>
        </w:rPr>
        <w:t>Genova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Rp</w:t>
      </w:r>
      <w:proofErr w:type="spellEnd"/>
      <w:r>
        <w:rPr>
          <w:rFonts w:ascii="Times New Roman" w:hAnsi="Times New Roman" w:cs="Times New Roman"/>
        </w:rPr>
        <w:t xml:space="preserve">: Giulio Malavolti), si occupa della </w:t>
      </w:r>
      <w:r w:rsidRPr="006D0F4E">
        <w:rPr>
          <w:rFonts w:ascii="Times New Roman" w:hAnsi="Times New Roman" w:cs="Times New Roman"/>
        </w:rPr>
        <w:t xml:space="preserve">divulgazione e </w:t>
      </w:r>
      <w:r>
        <w:rPr>
          <w:rFonts w:ascii="Times New Roman" w:hAnsi="Times New Roman" w:cs="Times New Roman"/>
        </w:rPr>
        <w:t xml:space="preserve">della </w:t>
      </w:r>
      <w:r w:rsidRPr="006D0F4E">
        <w:rPr>
          <w:rFonts w:ascii="Times New Roman" w:hAnsi="Times New Roman" w:cs="Times New Roman"/>
        </w:rPr>
        <w:t>promozione dei risultati</w:t>
      </w:r>
      <w:r>
        <w:rPr>
          <w:rFonts w:ascii="Times New Roman" w:hAnsi="Times New Roman" w:cs="Times New Roman"/>
        </w:rPr>
        <w:t xml:space="preserve">, così pure della formazione. Ma torniamo alle attività </w:t>
      </w:r>
      <w:r w:rsidRPr="005E29AA">
        <w:rPr>
          <w:rFonts w:ascii="Times New Roman" w:hAnsi="Times New Roman" w:cs="Times New Roman"/>
        </w:rPr>
        <w:t>progett</w:t>
      </w:r>
      <w:r>
        <w:rPr>
          <w:rFonts w:ascii="Times New Roman" w:hAnsi="Times New Roman" w:cs="Times New Roman"/>
        </w:rPr>
        <w:t xml:space="preserve">uali: il gruppo operativo (GO) </w:t>
      </w:r>
      <w:r w:rsidRPr="00D53698">
        <w:rPr>
          <w:rFonts w:ascii="Times New Roman" w:hAnsi="Times New Roman" w:cs="Times New Roman"/>
          <w:b/>
          <w:bCs/>
        </w:rPr>
        <w:t>CORNELIA</w:t>
      </w:r>
      <w:r>
        <w:rPr>
          <w:rFonts w:ascii="Times New Roman" w:hAnsi="Times New Roman" w:cs="Times New Roman"/>
        </w:rPr>
        <w:t xml:space="preserve"> sta promuovendo sul territorio un’</w:t>
      </w:r>
      <w:r w:rsidRPr="005E29AA">
        <w:rPr>
          <w:rFonts w:ascii="Times New Roman" w:hAnsi="Times New Roman" w:cs="Times New Roman"/>
        </w:rPr>
        <w:t>innovazione</w:t>
      </w:r>
      <w:r>
        <w:rPr>
          <w:rFonts w:ascii="Times New Roman" w:hAnsi="Times New Roman" w:cs="Times New Roman"/>
        </w:rPr>
        <w:t xml:space="preserve">, e cioè, non solo la re-introduzione della coltivazione di vecchi genotipi di frumento tenero, ma anche e soprattutto lo sviluppo ed applicazione di biofertilizzanti biologici a base di microorganismi benefici. La Società Agricola i Castelli nella prima annata agraria ha messo in campo 5 vecchi genotipi di frumento tenero, e nello specifico, San Pastore, Frassineto, Villa Glori, Mentana, Gentil Rosso, Inallettabile, </w:t>
      </w:r>
      <w:proofErr w:type="spellStart"/>
      <w:r>
        <w:rPr>
          <w:rFonts w:ascii="Times New Roman" w:hAnsi="Times New Roman" w:cs="Times New Roman"/>
        </w:rPr>
        <w:t>Risciola</w:t>
      </w:r>
      <w:proofErr w:type="spellEnd"/>
      <w:r>
        <w:rPr>
          <w:rFonts w:ascii="Times New Roman" w:hAnsi="Times New Roman" w:cs="Times New Roman"/>
        </w:rPr>
        <w:t>, Verna, mentre nella seconda annata agraria, ha messo in campo il Gentil Rosso, Frassineto, l’Autonomia, il Verna, e una miscela di tali frumenti (</w:t>
      </w:r>
      <w:r w:rsidRPr="0054320E">
        <w:rPr>
          <w:rFonts w:ascii="Times New Roman" w:hAnsi="Times New Roman" w:cs="Times New Roman"/>
          <w:b/>
          <w:bCs/>
        </w:rPr>
        <w:t>Fig. 2</w:t>
      </w:r>
      <w:r>
        <w:rPr>
          <w:rFonts w:ascii="Times New Roman" w:hAnsi="Times New Roman" w:cs="Times New Roman"/>
          <w:b/>
          <w:bCs/>
        </w:rPr>
        <w:t>, 3</w:t>
      </w:r>
      <w:r>
        <w:rPr>
          <w:rFonts w:ascii="Times New Roman" w:hAnsi="Times New Roman" w:cs="Times New Roman"/>
        </w:rPr>
        <w:t xml:space="preserve">). L’Azienda Agricola Anima Ligure ed il Sicomoro hanno invece reintrodotto, nell’annata agraria 2021-22, il vecchio genotipo Gentil Rosso. I microorganismi benefici sviluppati ed utilizzati dal GO, sono i funghi micorrizici </w:t>
      </w:r>
      <w:proofErr w:type="spellStart"/>
      <w:r>
        <w:rPr>
          <w:rFonts w:ascii="Times New Roman" w:hAnsi="Times New Roman" w:cs="Times New Roman"/>
        </w:rPr>
        <w:t>arbuscolari</w:t>
      </w:r>
      <w:proofErr w:type="spellEnd"/>
      <w:r>
        <w:rPr>
          <w:rFonts w:ascii="Times New Roman" w:hAnsi="Times New Roman" w:cs="Times New Roman"/>
        </w:rPr>
        <w:t xml:space="preserve"> (AMF). Tali</w:t>
      </w:r>
      <w:r w:rsidRPr="00692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funghi sono simbionti obbligati e cioè </w:t>
      </w:r>
      <w:r w:rsidRPr="00692041">
        <w:rPr>
          <w:rFonts w:ascii="Times New Roman" w:hAnsi="Times New Roman" w:cs="Times New Roman"/>
        </w:rPr>
        <w:t>incapaci di compiere il loro ciclo vitale in assenza di una pianta ospite</w:t>
      </w:r>
      <w:r>
        <w:rPr>
          <w:rFonts w:ascii="Times New Roman" w:hAnsi="Times New Roman" w:cs="Times New Roman"/>
        </w:rPr>
        <w:t xml:space="preserve">, ed appartengono al phylum dei </w:t>
      </w:r>
      <w:proofErr w:type="spellStart"/>
      <w:r w:rsidRPr="00692041">
        <w:rPr>
          <w:rFonts w:ascii="Times New Roman" w:hAnsi="Times New Roman" w:cs="Times New Roman"/>
        </w:rPr>
        <w:t>Glomeromycota</w:t>
      </w:r>
      <w:proofErr w:type="spellEnd"/>
      <w:r>
        <w:rPr>
          <w:rFonts w:ascii="Times New Roman" w:hAnsi="Times New Roman" w:cs="Times New Roman"/>
        </w:rPr>
        <w:t xml:space="preserve">. All’interno di tale phylum è presente un’alta diversità e cioè 341 specie caratterizzate morfologicamente, appartenenti a 4 ordini e 11 famiglie, che hanno un’elevata variabilità funzionale. In </w:t>
      </w:r>
      <w:r w:rsidRPr="00994A16">
        <w:rPr>
          <w:rFonts w:ascii="Times New Roman" w:hAnsi="Times New Roman" w:cs="Times New Roman"/>
          <w:b/>
          <w:bCs/>
        </w:rPr>
        <w:t xml:space="preserve">Figura 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, alcune foto al microscopio di spore fungine che si sviluppano nel suolo e talvolta anche nelle radici, e le strutture </w:t>
      </w:r>
      <w:proofErr w:type="spellStart"/>
      <w:r>
        <w:rPr>
          <w:rFonts w:ascii="Times New Roman" w:hAnsi="Times New Roman" w:cs="Times New Roman"/>
        </w:rPr>
        <w:t>extraradicali</w:t>
      </w:r>
      <w:proofErr w:type="spellEnd"/>
      <w:r>
        <w:rPr>
          <w:rFonts w:ascii="Times New Roman" w:hAnsi="Times New Roman" w:cs="Times New Roman"/>
        </w:rPr>
        <w:t xml:space="preserve"> ed </w:t>
      </w:r>
      <w:proofErr w:type="spellStart"/>
      <w:r>
        <w:rPr>
          <w:rFonts w:ascii="Times New Roman" w:hAnsi="Times New Roman" w:cs="Times New Roman"/>
        </w:rPr>
        <w:t>intradicali</w:t>
      </w:r>
      <w:proofErr w:type="spellEnd"/>
      <w:r>
        <w:rPr>
          <w:rFonts w:ascii="Times New Roman" w:hAnsi="Times New Roman" w:cs="Times New Roman"/>
        </w:rPr>
        <w:t xml:space="preserve">, come il micelio fungino e gli arbuscoli, siti chiave di scambio dei nutrienti. Tali funghi </w:t>
      </w:r>
      <w:r w:rsidRPr="003B65EB">
        <w:rPr>
          <w:rFonts w:ascii="Times New Roman" w:hAnsi="Times New Roman" w:cs="Times New Roman"/>
        </w:rPr>
        <w:t xml:space="preserve">svolgono un ruolo </w:t>
      </w:r>
      <w:r>
        <w:rPr>
          <w:rFonts w:ascii="Times New Roman" w:hAnsi="Times New Roman" w:cs="Times New Roman"/>
        </w:rPr>
        <w:t xml:space="preserve">fondamentale </w:t>
      </w:r>
      <w:r w:rsidRPr="003B65EB">
        <w:rPr>
          <w:rFonts w:ascii="Times New Roman" w:hAnsi="Times New Roman" w:cs="Times New Roman"/>
        </w:rPr>
        <w:t>nella crescita e nella nutrizione d</w:t>
      </w:r>
      <w:r>
        <w:rPr>
          <w:rFonts w:ascii="Times New Roman" w:hAnsi="Times New Roman" w:cs="Times New Roman"/>
        </w:rPr>
        <w:t xml:space="preserve">elle </w:t>
      </w:r>
      <w:r w:rsidRPr="003B65EB">
        <w:rPr>
          <w:rFonts w:ascii="Times New Roman" w:hAnsi="Times New Roman" w:cs="Times New Roman"/>
        </w:rPr>
        <w:t xml:space="preserve">colture, fornendo alle piante </w:t>
      </w:r>
      <w:r>
        <w:rPr>
          <w:rFonts w:ascii="Times New Roman" w:hAnsi="Times New Roman" w:cs="Times New Roman"/>
        </w:rPr>
        <w:t>elevate</w:t>
      </w:r>
      <w:r w:rsidRPr="003B65EB">
        <w:rPr>
          <w:rFonts w:ascii="Times New Roman" w:hAnsi="Times New Roman" w:cs="Times New Roman"/>
        </w:rPr>
        <w:t xml:space="preserve"> quantità di nutrienti inorganici, come P, nonché altri nutrienti (p. es., N, Zn, Ca, Cu e K), in cambio di C </w:t>
      </w:r>
      <w:proofErr w:type="spellStart"/>
      <w:r w:rsidRPr="003B65EB">
        <w:rPr>
          <w:rFonts w:ascii="Times New Roman" w:hAnsi="Times New Roman" w:cs="Times New Roman"/>
        </w:rPr>
        <w:t>fotosinteticamente</w:t>
      </w:r>
      <w:proofErr w:type="spellEnd"/>
      <w:r w:rsidRPr="003B65EB">
        <w:rPr>
          <w:rFonts w:ascii="Times New Roman" w:hAnsi="Times New Roman" w:cs="Times New Roman"/>
        </w:rPr>
        <w:t xml:space="preserve"> assimilat</w:t>
      </w:r>
      <w:r>
        <w:rPr>
          <w:rFonts w:ascii="Times New Roman" w:hAnsi="Times New Roman" w:cs="Times New Roman"/>
        </w:rPr>
        <w:t>o</w:t>
      </w:r>
      <w:r w:rsidRPr="003B65EB">
        <w:rPr>
          <w:rFonts w:ascii="Times New Roman" w:hAnsi="Times New Roman" w:cs="Times New Roman"/>
        </w:rPr>
        <w:t xml:space="preserve"> (ca 4-20%). Oltre al loro ruolo </w:t>
      </w:r>
      <w:r>
        <w:rPr>
          <w:rFonts w:ascii="Times New Roman" w:hAnsi="Times New Roman" w:cs="Times New Roman"/>
        </w:rPr>
        <w:t xml:space="preserve">come </w:t>
      </w:r>
      <w:r>
        <w:rPr>
          <w:rFonts w:ascii="Times New Roman" w:hAnsi="Times New Roman" w:cs="Times New Roman"/>
        </w:rPr>
        <w:lastRenderedPageBreak/>
        <w:t>driver</w:t>
      </w:r>
      <w:r w:rsidRPr="003B65EB">
        <w:rPr>
          <w:rFonts w:ascii="Times New Roman" w:hAnsi="Times New Roman" w:cs="Times New Roman"/>
        </w:rPr>
        <w:t xml:space="preserve"> nel ciclo dei nutrienti e </w:t>
      </w:r>
      <w:r>
        <w:rPr>
          <w:rFonts w:ascii="Times New Roman" w:hAnsi="Times New Roman" w:cs="Times New Roman"/>
        </w:rPr>
        <w:t>promotori della struttura</w:t>
      </w:r>
      <w:r w:rsidRPr="003B65EB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>terreno</w:t>
      </w:r>
      <w:r w:rsidRPr="003B65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gli </w:t>
      </w:r>
      <w:r w:rsidRPr="003B65EB">
        <w:rPr>
          <w:rFonts w:ascii="Times New Roman" w:hAnsi="Times New Roman" w:cs="Times New Roman"/>
        </w:rPr>
        <w:t>AMF migliora</w:t>
      </w:r>
      <w:r>
        <w:rPr>
          <w:rFonts w:ascii="Times New Roman" w:hAnsi="Times New Roman" w:cs="Times New Roman"/>
        </w:rPr>
        <w:t>no</w:t>
      </w:r>
      <w:r w:rsidRPr="003B65EB">
        <w:rPr>
          <w:rFonts w:ascii="Times New Roman" w:hAnsi="Times New Roman" w:cs="Times New Roman"/>
        </w:rPr>
        <w:t xml:space="preserve"> l'assorbimento dell'acqua </w:t>
      </w:r>
      <w:r>
        <w:rPr>
          <w:rFonts w:ascii="Times New Roman" w:hAnsi="Times New Roman" w:cs="Times New Roman"/>
        </w:rPr>
        <w:t>da parte dell’</w:t>
      </w:r>
      <w:r w:rsidRPr="003B65EB">
        <w:rPr>
          <w:rFonts w:ascii="Times New Roman" w:hAnsi="Times New Roman" w:cs="Times New Roman"/>
        </w:rPr>
        <w:t xml:space="preserve">ospite e </w:t>
      </w:r>
      <w:r>
        <w:rPr>
          <w:rFonts w:ascii="Times New Roman" w:hAnsi="Times New Roman" w:cs="Times New Roman"/>
        </w:rPr>
        <w:t xml:space="preserve">la </w:t>
      </w:r>
      <w:r w:rsidRPr="003B65EB">
        <w:rPr>
          <w:rFonts w:ascii="Times New Roman" w:hAnsi="Times New Roman" w:cs="Times New Roman"/>
        </w:rPr>
        <w:t xml:space="preserve">resistenza </w:t>
      </w:r>
      <w:r>
        <w:rPr>
          <w:rFonts w:ascii="Times New Roman" w:hAnsi="Times New Roman" w:cs="Times New Roman"/>
        </w:rPr>
        <w:t>delle</w:t>
      </w:r>
      <w:r w:rsidRPr="003B6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colture</w:t>
      </w:r>
      <w:r w:rsidRPr="003B6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ai patogeni radicali </w:t>
      </w:r>
      <w:r w:rsidRPr="003B65EB">
        <w:rPr>
          <w:rFonts w:ascii="Times New Roman" w:hAnsi="Times New Roman" w:cs="Times New Roman"/>
        </w:rPr>
        <w:t xml:space="preserve">e ad altri agenti patogeni. Pertanto, </w:t>
      </w:r>
      <w:r>
        <w:rPr>
          <w:rFonts w:ascii="Times New Roman" w:hAnsi="Times New Roman" w:cs="Times New Roman"/>
        </w:rPr>
        <w:t xml:space="preserve">grazie alle funzioni descritte in esperimenti di laboratorio e più recentemente anche in esperimenti di campo, </w:t>
      </w:r>
      <w:r w:rsidRPr="003B65EB">
        <w:rPr>
          <w:rFonts w:ascii="Times New Roman" w:hAnsi="Times New Roman" w:cs="Times New Roman"/>
        </w:rPr>
        <w:t xml:space="preserve">esiste un'elevata potenzialità </w:t>
      </w:r>
      <w:r>
        <w:rPr>
          <w:rFonts w:ascii="Times New Roman" w:hAnsi="Times New Roman" w:cs="Times New Roman"/>
        </w:rPr>
        <w:t xml:space="preserve">nello sviluppo e applicazione degli </w:t>
      </w:r>
      <w:r w:rsidRPr="003B65EB">
        <w:rPr>
          <w:rFonts w:ascii="Times New Roman" w:hAnsi="Times New Roman" w:cs="Times New Roman"/>
        </w:rPr>
        <w:t xml:space="preserve">AMF </w:t>
      </w:r>
      <w:r>
        <w:rPr>
          <w:rFonts w:ascii="Times New Roman" w:hAnsi="Times New Roman" w:cs="Times New Roman"/>
        </w:rPr>
        <w:t xml:space="preserve">in un’ottica di </w:t>
      </w:r>
      <w:r w:rsidRPr="003B65EB">
        <w:rPr>
          <w:rFonts w:ascii="Times New Roman" w:hAnsi="Times New Roman" w:cs="Times New Roman"/>
        </w:rPr>
        <w:t>agricoltura sostenibile</w:t>
      </w:r>
      <w:r>
        <w:rPr>
          <w:rFonts w:ascii="Times New Roman" w:hAnsi="Times New Roman" w:cs="Times New Roman"/>
        </w:rPr>
        <w:t xml:space="preserve"> e smart. Questa potenzialità è stata colta al volo dal GO </w:t>
      </w:r>
      <w:r w:rsidRPr="00D8536B">
        <w:rPr>
          <w:rFonts w:ascii="Times New Roman" w:hAnsi="Times New Roman" w:cs="Times New Roman"/>
          <w:b/>
          <w:bCs/>
        </w:rPr>
        <w:t>CORNELIA</w:t>
      </w:r>
      <w:r>
        <w:rPr>
          <w:rFonts w:ascii="Times New Roman" w:hAnsi="Times New Roman" w:cs="Times New Roman"/>
        </w:rPr>
        <w:t xml:space="preserve"> che, dopo aver re-introdotto i frumenti sul territorio, ottenendo da scarse a buone produzioni (14 q ha</w:t>
      </w:r>
      <w:r w:rsidRPr="00306EC8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 xml:space="preserve"> nel primo anno ed 11 q ha</w:t>
      </w:r>
      <w:r w:rsidRPr="00306EC8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 xml:space="preserve"> nel secondo) con l’applicazione di concimi organo-minerali nel primo anno di produzione, e migliori produzioni nel secondo anno (</w:t>
      </w:r>
      <w:r w:rsidRPr="00994A16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), ha messo in campo da questa annata agraria anche gli AMF. L’applicazione è stata eseguita alla semina con consorzi microbici multipli (</w:t>
      </w:r>
      <w:r w:rsidRPr="00794E9A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 xml:space="preserve">). Inoltre, grazie all’instancabile attività di Augusto </w:t>
      </w:r>
      <w:proofErr w:type="spellStart"/>
      <w:r>
        <w:rPr>
          <w:rFonts w:ascii="Times New Roman" w:hAnsi="Times New Roman" w:cs="Times New Roman"/>
        </w:rPr>
        <w:t>Valese</w:t>
      </w:r>
      <w:proofErr w:type="spellEnd"/>
      <w:r>
        <w:rPr>
          <w:rFonts w:ascii="Times New Roman" w:hAnsi="Times New Roman" w:cs="Times New Roman"/>
        </w:rPr>
        <w:t xml:space="preserve">, dai vecchi genotipi di </w:t>
      </w:r>
      <w:r w:rsidRPr="00324134">
        <w:rPr>
          <w:rFonts w:ascii="Times New Roman" w:hAnsi="Times New Roman" w:cs="Times New Roman"/>
        </w:rPr>
        <w:t>frumento sono state prodotte farine integrali ed è stata creata una filiera corta di produzione del pane (</w:t>
      </w:r>
      <w:r w:rsidRPr="00324134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7</w:t>
      </w:r>
      <w:r w:rsidRPr="00324134">
        <w:rPr>
          <w:rFonts w:ascii="Times New Roman" w:hAnsi="Times New Roman" w:cs="Times New Roman"/>
        </w:rPr>
        <w:t xml:space="preserve">). Il pane è stato prodotto dai Panifici Penna e </w:t>
      </w:r>
      <w:proofErr w:type="spellStart"/>
      <w:r w:rsidRPr="00324134">
        <w:rPr>
          <w:rFonts w:ascii="Times New Roman" w:hAnsi="Times New Roman" w:cs="Times New Roman"/>
        </w:rPr>
        <w:t>Censoplano</w:t>
      </w:r>
      <w:proofErr w:type="spellEnd"/>
      <w:r w:rsidRPr="00324134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Ceparana (SP)</w:t>
      </w:r>
      <w:r w:rsidRPr="00324134">
        <w:rPr>
          <w:rFonts w:ascii="Times New Roman" w:hAnsi="Times New Roman" w:cs="Times New Roman"/>
        </w:rPr>
        <w:t xml:space="preserve">. Attualmente, i frumenti sono in campo nelle tre aziende agricole partner del progetto e a Maggio sarà organizzata una visita ai campi prova, seguita dalla presentazione dei primi risultati, con lo scopo </w:t>
      </w:r>
      <w:r>
        <w:rPr>
          <w:rFonts w:ascii="Times New Roman" w:hAnsi="Times New Roman" w:cs="Times New Roman"/>
        </w:rPr>
        <w:t xml:space="preserve">di </w:t>
      </w:r>
      <w:r w:rsidRPr="00324134">
        <w:rPr>
          <w:rFonts w:ascii="Times New Roman" w:hAnsi="Times New Roman" w:cs="Times New Roman"/>
        </w:rPr>
        <w:t xml:space="preserve">entrare in contato con il punto di partenza di questa nuova filiera ligure. Nell’occasione, sarà possibile assaggiare i prodotti trasformati ottenuti dal </w:t>
      </w:r>
      <w:r w:rsidRPr="00324134">
        <w:rPr>
          <w:rFonts w:ascii="Times New Roman" w:hAnsi="Times New Roman" w:cs="Times New Roman"/>
          <w:b/>
          <w:bCs/>
        </w:rPr>
        <w:t>CORNELIA</w:t>
      </w:r>
      <w:r w:rsidRPr="00324134">
        <w:rPr>
          <w:rFonts w:ascii="Times New Roman" w:hAnsi="Times New Roman" w:cs="Times New Roman"/>
        </w:rPr>
        <w:t>. Inoltre, nello stesso mese di Maggio, sarà organizzato un corso specifico dal titolo “Basi della fertilizzazione in agricoltura: il passaggio dai fertilizzanti minerali ai biostimolanti microbici e non”. Il corso, offerto da CIPA-AT, sarà fornito gratuitamente a 20 imprenditori agricoli, previa registrazione</w:t>
      </w:r>
      <w:r>
        <w:rPr>
          <w:rFonts w:ascii="Times New Roman" w:hAnsi="Times New Roman" w:cs="Times New Roman"/>
        </w:rPr>
        <w:t xml:space="preserve">. Il corso avrà una durata di 20 ore di cui 15 in DAD e 5 in presenza (Bolano, SP) per toccare con mano i biostimolanti microbici e capirne le modalità di applicazione in campo. </w:t>
      </w:r>
      <w:r w:rsidRPr="006E6004">
        <w:rPr>
          <w:rFonts w:ascii="Times New Roman" w:hAnsi="Times New Roman" w:cs="Times New Roman"/>
        </w:rPr>
        <w:t xml:space="preserve">“Save the </w:t>
      </w:r>
      <w:proofErr w:type="spellStart"/>
      <w:r w:rsidRPr="006E6004">
        <w:rPr>
          <w:rFonts w:ascii="Times New Roman" w:hAnsi="Times New Roman" w:cs="Times New Roman"/>
        </w:rPr>
        <w:t>soil</w:t>
      </w:r>
      <w:proofErr w:type="spellEnd"/>
      <w:r w:rsidRPr="006E6004">
        <w:rPr>
          <w:rFonts w:ascii="Times New Roman" w:hAnsi="Times New Roman" w:cs="Times New Roman"/>
        </w:rPr>
        <w:t xml:space="preserve"> and </w:t>
      </w:r>
      <w:proofErr w:type="spellStart"/>
      <w:r w:rsidRPr="006E6004">
        <w:rPr>
          <w:rFonts w:ascii="Times New Roman" w:hAnsi="Times New Roman" w:cs="Times New Roman"/>
        </w:rPr>
        <w:t>his</w:t>
      </w:r>
      <w:proofErr w:type="spellEnd"/>
      <w:r w:rsidRPr="006E6004">
        <w:rPr>
          <w:rFonts w:ascii="Times New Roman" w:hAnsi="Times New Roman" w:cs="Times New Roman"/>
        </w:rPr>
        <w:t xml:space="preserve"> </w:t>
      </w:r>
      <w:proofErr w:type="spellStart"/>
      <w:r w:rsidRPr="006E6004">
        <w:rPr>
          <w:rFonts w:ascii="Times New Roman" w:hAnsi="Times New Roman" w:cs="Times New Roman"/>
        </w:rPr>
        <w:t>bibioversity</w:t>
      </w:r>
      <w:proofErr w:type="spellEnd"/>
      <w:r w:rsidRPr="006E6004">
        <w:rPr>
          <w:rFonts w:ascii="Times New Roman" w:hAnsi="Times New Roman" w:cs="Times New Roman"/>
        </w:rPr>
        <w:t>” è il motto portato avanti dal pro</w:t>
      </w:r>
      <w:r>
        <w:rPr>
          <w:rFonts w:ascii="Times New Roman" w:hAnsi="Times New Roman" w:cs="Times New Roman"/>
        </w:rPr>
        <w:t>getto in stretta collaborazione con EPI-AGRI ‘</w:t>
      </w:r>
      <w:proofErr w:type="spellStart"/>
      <w:r w:rsidRPr="00773AA1">
        <w:rPr>
          <w:rFonts w:ascii="Times New Roman" w:hAnsi="Times New Roman" w:cs="Times New Roman"/>
        </w:rPr>
        <w:t>genetic</w:t>
      </w:r>
      <w:proofErr w:type="spellEnd"/>
      <w:r w:rsidRPr="00773AA1">
        <w:rPr>
          <w:rFonts w:ascii="Times New Roman" w:hAnsi="Times New Roman" w:cs="Times New Roman"/>
        </w:rPr>
        <w:t>-</w:t>
      </w:r>
      <w:proofErr w:type="spellStart"/>
      <w:r w:rsidRPr="00773AA1">
        <w:rPr>
          <w:rFonts w:ascii="Times New Roman" w:hAnsi="Times New Roman" w:cs="Times New Roman"/>
        </w:rPr>
        <w:t>resources</w:t>
      </w:r>
      <w:proofErr w:type="spellEnd"/>
      <w:r w:rsidRPr="00773AA1">
        <w:rPr>
          <w:rFonts w:ascii="Times New Roman" w:hAnsi="Times New Roman" w:cs="Times New Roman"/>
        </w:rPr>
        <w:t>-</w:t>
      </w:r>
      <w:proofErr w:type="spellStart"/>
      <w:r w:rsidRPr="00773AA1">
        <w:rPr>
          <w:rFonts w:ascii="Times New Roman" w:hAnsi="Times New Roman" w:cs="Times New Roman"/>
        </w:rPr>
        <w:t>cooperation</w:t>
      </w:r>
      <w:proofErr w:type="spellEnd"/>
      <w:r w:rsidRPr="00773AA1">
        <w:rPr>
          <w:rFonts w:ascii="Times New Roman" w:hAnsi="Times New Roman" w:cs="Times New Roman"/>
        </w:rPr>
        <w:t>-models</w:t>
      </w:r>
      <w:r>
        <w:rPr>
          <w:rFonts w:ascii="Times New Roman" w:hAnsi="Times New Roman" w:cs="Times New Roman"/>
        </w:rPr>
        <w:t>’ (</w:t>
      </w:r>
      <w:r w:rsidRPr="00773AA1">
        <w:rPr>
          <w:rFonts w:ascii="Times New Roman" w:hAnsi="Times New Roman" w:cs="Times New Roman"/>
        </w:rPr>
        <w:t>https://ec.europa.eu/eip/agriculture/en/focus-groups/genetic-resources-cooperation-models</w:t>
      </w:r>
      <w:r>
        <w:rPr>
          <w:rFonts w:ascii="Times New Roman" w:hAnsi="Times New Roman" w:cs="Times New Roman"/>
        </w:rPr>
        <w:t>).</w:t>
      </w:r>
    </w:p>
    <w:p w14:paraId="406B0DC5" w14:textId="77777777" w:rsidR="00FA7991" w:rsidRPr="006E6004" w:rsidRDefault="00FA7991" w:rsidP="00FA7991">
      <w:pPr>
        <w:jc w:val="both"/>
        <w:rPr>
          <w:rFonts w:ascii="Times New Roman" w:hAnsi="Times New Roman" w:cs="Times New Roman"/>
        </w:rPr>
      </w:pPr>
    </w:p>
    <w:p w14:paraId="65FC0299" w14:textId="77777777" w:rsidR="00FA7991" w:rsidRPr="006E6004" w:rsidRDefault="00FA7991" w:rsidP="00FA7991">
      <w:pPr>
        <w:jc w:val="both"/>
        <w:rPr>
          <w:rFonts w:ascii="Times New Roman" w:hAnsi="Times New Roman" w:cs="Times New Roman"/>
        </w:rPr>
      </w:pPr>
    </w:p>
    <w:p w14:paraId="0FFCA517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6A562058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FB99AF3" wp14:editId="4E7A3704">
            <wp:extent cx="1469292" cy="1455464"/>
            <wp:effectExtent l="0" t="0" r="444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9" cy="146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CAA1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54320E">
        <w:rPr>
          <w:rFonts w:ascii="Times New Roman" w:hAnsi="Times New Roman" w:cs="Times New Roman"/>
          <w:b/>
          <w:bCs/>
        </w:rPr>
        <w:t>Fig. 1.</w:t>
      </w:r>
      <w:r>
        <w:rPr>
          <w:rFonts w:ascii="Times New Roman" w:hAnsi="Times New Roman" w:cs="Times New Roman"/>
        </w:rPr>
        <w:t xml:space="preserve"> Logo del </w:t>
      </w:r>
      <w:r>
        <w:rPr>
          <w:rFonts w:ascii="Times New Roman" w:hAnsi="Times New Roman" w:cs="Times New Roman"/>
          <w:b/>
          <w:bCs/>
        </w:rPr>
        <w:t>Gruppo Operativo</w:t>
      </w:r>
      <w:r w:rsidRPr="00266BA4">
        <w:rPr>
          <w:rFonts w:ascii="Times New Roman" w:hAnsi="Times New Roman" w:cs="Times New Roman"/>
          <w:b/>
          <w:bCs/>
        </w:rPr>
        <w:t xml:space="preserve"> Cornelia</w:t>
      </w:r>
      <w:r>
        <w:rPr>
          <w:rFonts w:ascii="Times New Roman" w:hAnsi="Times New Roman" w:cs="Times New Roman"/>
        </w:rPr>
        <w:t xml:space="preserve"> - </w:t>
      </w:r>
      <w:r w:rsidRPr="0054320E">
        <w:rPr>
          <w:rFonts w:ascii="Times New Roman" w:hAnsi="Times New Roman" w:cs="Times New Roman"/>
        </w:rPr>
        <w:t>sviluppo e applicazione di consorzi microbici per aumentare l’efficienza di utilizzazione dei nutrienti e la capacità di difesa da stress biotici e abiotici del frumento tenero</w:t>
      </w:r>
    </w:p>
    <w:p w14:paraId="4921433A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1C1CDF84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1AB77D75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9D6D05" wp14:editId="4F6C271E">
            <wp:extent cx="5731510" cy="21520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B551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54320E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2</w:t>
      </w:r>
      <w:r w:rsidRPr="0054320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Vecchi genotipi di frumento tenero re-introdotti dal </w:t>
      </w:r>
      <w:r>
        <w:rPr>
          <w:rFonts w:ascii="Times New Roman" w:hAnsi="Times New Roman" w:cs="Times New Roman"/>
          <w:b/>
          <w:bCs/>
        </w:rPr>
        <w:t>G</w:t>
      </w:r>
      <w:r w:rsidRPr="00F36ED2">
        <w:rPr>
          <w:rFonts w:ascii="Times New Roman" w:hAnsi="Times New Roman" w:cs="Times New Roman"/>
          <w:b/>
          <w:bCs/>
        </w:rPr>
        <w:t xml:space="preserve">ruppo </w:t>
      </w:r>
      <w:r>
        <w:rPr>
          <w:rFonts w:ascii="Times New Roman" w:hAnsi="Times New Roman" w:cs="Times New Roman"/>
          <w:b/>
          <w:bCs/>
        </w:rPr>
        <w:t>O</w:t>
      </w:r>
      <w:r w:rsidRPr="00F36ED2">
        <w:rPr>
          <w:rFonts w:ascii="Times New Roman" w:hAnsi="Times New Roman" w:cs="Times New Roman"/>
          <w:b/>
          <w:bCs/>
        </w:rPr>
        <w:t>perativo</w:t>
      </w:r>
      <w:r>
        <w:rPr>
          <w:rFonts w:ascii="Times New Roman" w:hAnsi="Times New Roman" w:cs="Times New Roman"/>
        </w:rPr>
        <w:t xml:space="preserve"> </w:t>
      </w:r>
      <w:r w:rsidRPr="00266BA4">
        <w:rPr>
          <w:rFonts w:ascii="Times New Roman" w:hAnsi="Times New Roman" w:cs="Times New Roman"/>
          <w:b/>
          <w:bCs/>
        </w:rPr>
        <w:t>Cornelia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(foto Frassineto, Villa Glori, Mentana, Gentil Rosso, Inallettabile riviste da </w:t>
      </w:r>
      <w:hyperlink r:id="rId11" w:history="1">
        <w:r w:rsidRPr="00781B62">
          <w:rPr>
            <w:rStyle w:val="Collegamentoipertestuale"/>
            <w:rFonts w:ascii="Times New Roman" w:hAnsi="Times New Roman" w:cs="Times New Roman"/>
          </w:rPr>
          <w:t>http://germoplasma.regione.toscana.it/</w:t>
        </w:r>
      </w:hyperlink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Risciola</w:t>
      </w:r>
      <w:proofErr w:type="spellEnd"/>
      <w:r>
        <w:rPr>
          <w:rFonts w:ascii="Times New Roman" w:hAnsi="Times New Roman" w:cs="Times New Roman"/>
        </w:rPr>
        <w:t xml:space="preserve"> rivista da </w:t>
      </w:r>
      <w:hyperlink r:id="rId12" w:history="1">
        <w:r w:rsidRPr="00781B62">
          <w:rPr>
            <w:rStyle w:val="Collegamentoipertestuale"/>
            <w:rFonts w:ascii="Times New Roman" w:hAnsi="Times New Roman" w:cs="Times New Roman"/>
          </w:rPr>
          <w:t>http://www.granorisciola.it/il-grano-risciola</w:t>
        </w:r>
      </w:hyperlink>
      <w:r>
        <w:rPr>
          <w:rFonts w:ascii="Times New Roman" w:hAnsi="Times New Roman" w:cs="Times New Roman"/>
        </w:rPr>
        <w:t xml:space="preserve">; San Pastore da </w:t>
      </w:r>
      <w:hyperlink r:id="rId13" w:history="1">
        <w:r w:rsidRPr="00781B62">
          <w:rPr>
            <w:rStyle w:val="Collegamentoipertestuale"/>
            <w:rFonts w:ascii="Times New Roman" w:hAnsi="Times New Roman" w:cs="Times New Roman"/>
          </w:rPr>
          <w:t>http://www.brollomisto.it/blog-grano-san-pastore-tradizione-innovativa/</w:t>
        </w:r>
      </w:hyperlink>
      <w:r>
        <w:rPr>
          <w:rFonts w:ascii="Times New Roman" w:hAnsi="Times New Roman" w:cs="Times New Roman"/>
        </w:rPr>
        <w:t>; Verna foto: Elisa Pellegrino, , Scuola Superiore Sant’Anna).</w:t>
      </w:r>
    </w:p>
    <w:p w14:paraId="28BCA6AA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6852911C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257CA0" wp14:editId="502AA79E">
            <wp:extent cx="3616036" cy="2712227"/>
            <wp:effectExtent l="0" t="0" r="381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513" cy="272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5D8B5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A91938">
        <w:rPr>
          <w:rFonts w:ascii="Times New Roman" w:hAnsi="Times New Roman" w:cs="Times New Roman"/>
          <w:b/>
          <w:bCs/>
        </w:rPr>
        <w:t>Fig. 3.</w:t>
      </w:r>
      <w:r>
        <w:rPr>
          <w:rFonts w:ascii="Times New Roman" w:hAnsi="Times New Roman" w:cs="Times New Roman"/>
        </w:rPr>
        <w:t xml:space="preserve"> Campo di prova di vecchi genotipi fi frumento - Gruppo Operativo Cornelia (Bolano, La Spezia).</w:t>
      </w:r>
    </w:p>
    <w:p w14:paraId="09A7630F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758FFEFA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F6D39A9" wp14:editId="6C49CA08">
            <wp:extent cx="4597400" cy="2286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B66E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17A46C4F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54320E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4</w:t>
      </w:r>
      <w:r w:rsidRPr="0054320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 destra spore di funghi micorrizici </w:t>
      </w:r>
      <w:proofErr w:type="spellStart"/>
      <w:r>
        <w:rPr>
          <w:rFonts w:ascii="Times New Roman" w:hAnsi="Times New Roman" w:cs="Times New Roman"/>
        </w:rPr>
        <w:t>arbuscolari</w:t>
      </w:r>
      <w:proofErr w:type="spellEnd"/>
      <w:r>
        <w:rPr>
          <w:rFonts w:ascii="Times New Roman" w:hAnsi="Times New Roman" w:cs="Times New Roman"/>
        </w:rPr>
        <w:t xml:space="preserve"> usati come </w:t>
      </w:r>
      <w:proofErr w:type="spellStart"/>
      <w:r>
        <w:rPr>
          <w:rFonts w:ascii="Times New Roman" w:hAnsi="Times New Roman" w:cs="Times New Roman"/>
        </w:rPr>
        <w:t>biofertilizanti</w:t>
      </w:r>
      <w:proofErr w:type="spellEnd"/>
      <w:r>
        <w:rPr>
          <w:rFonts w:ascii="Times New Roman" w:hAnsi="Times New Roman" w:cs="Times New Roman"/>
        </w:rPr>
        <w:t xml:space="preserve"> per la coltivazione dei vecchi genotipi di frumento tenero (foto: Elisa Pellegrino, Scuola Superiore Sant’Anna).</w:t>
      </w:r>
    </w:p>
    <w:p w14:paraId="19DBDE14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22E374C4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5D8733D" wp14:editId="3BC9DF60">
            <wp:extent cx="5731510" cy="178181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35255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197A332A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54320E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5</w:t>
      </w:r>
      <w:r w:rsidRPr="0054320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Resa granellare annata 219-20 e 2020-21 a Bolano presso la Cooperativa Agricola I Castelli (responsabile partner aziendale: Augusto </w:t>
      </w:r>
      <w:proofErr w:type="spellStart"/>
      <w:r>
        <w:rPr>
          <w:rFonts w:ascii="Times New Roman" w:hAnsi="Times New Roman" w:cs="Times New Roman"/>
        </w:rPr>
        <w:t>Valese</w:t>
      </w:r>
      <w:proofErr w:type="spellEnd"/>
      <w:r>
        <w:rPr>
          <w:rFonts w:ascii="Times New Roman" w:hAnsi="Times New Roman" w:cs="Times New Roman"/>
        </w:rPr>
        <w:t>).</w:t>
      </w:r>
    </w:p>
    <w:p w14:paraId="00099326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0A5ED7D3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8B3526" wp14:editId="5982D363">
            <wp:extent cx="3649785" cy="1713164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366" cy="17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A63E9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1F27DA3A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 w:rsidRPr="0054320E">
        <w:rPr>
          <w:rFonts w:ascii="Times New Roman" w:hAnsi="Times New Roman" w:cs="Times New Roman"/>
          <w:b/>
          <w:bCs/>
        </w:rPr>
        <w:lastRenderedPageBreak/>
        <w:t xml:space="preserve">Fig. </w:t>
      </w:r>
      <w:r>
        <w:rPr>
          <w:rFonts w:ascii="Times New Roman" w:hAnsi="Times New Roman" w:cs="Times New Roman"/>
          <w:b/>
          <w:bCs/>
        </w:rPr>
        <w:t>6</w:t>
      </w:r>
      <w:r w:rsidRPr="0054320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Applicazione del biofertilizzante alla semina Azienda Anima Ligure </w:t>
      </w:r>
      <w:r w:rsidRPr="005E29AA">
        <w:rPr>
          <w:rFonts w:ascii="Times New Roman" w:hAnsi="Times New Roman" w:cs="Times New Roman"/>
        </w:rPr>
        <w:t xml:space="preserve">di Sarzana </w:t>
      </w:r>
      <w:r>
        <w:rPr>
          <w:rFonts w:ascii="Times New Roman" w:hAnsi="Times New Roman" w:cs="Times New Roman"/>
        </w:rPr>
        <w:t>(responsabile partner aziendale: Raffella Fontana).</w:t>
      </w:r>
    </w:p>
    <w:p w14:paraId="56EB98CB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275186A7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7DA78583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F45BFA" wp14:editId="5B794595">
            <wp:extent cx="2423819" cy="3235569"/>
            <wp:effectExtent l="0" t="0" r="1905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955" cy="32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9F26B" w14:textId="77777777" w:rsidR="00FA7991" w:rsidRDefault="00FA7991" w:rsidP="00FA7991">
      <w:pPr>
        <w:jc w:val="both"/>
        <w:rPr>
          <w:rFonts w:ascii="Times New Roman" w:hAnsi="Times New Roman" w:cs="Times New Roman"/>
        </w:rPr>
      </w:pPr>
    </w:p>
    <w:p w14:paraId="5E95C836" w14:textId="77777777" w:rsidR="00FA7991" w:rsidRDefault="00FA7991" w:rsidP="00FA7991">
      <w:r w:rsidRPr="0054320E">
        <w:rPr>
          <w:rFonts w:ascii="Times New Roman" w:hAnsi="Times New Roman" w:cs="Times New Roman"/>
          <w:b/>
          <w:bCs/>
        </w:rPr>
        <w:t xml:space="preserve">Fig. </w:t>
      </w:r>
      <w:r>
        <w:rPr>
          <w:rFonts w:ascii="Times New Roman" w:hAnsi="Times New Roman" w:cs="Times New Roman"/>
          <w:b/>
          <w:bCs/>
        </w:rPr>
        <w:t>6</w:t>
      </w:r>
      <w:r w:rsidRPr="0054320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Esempio di prototipo di farina: etichetta e proprietà nutritive e nutraceutiche di una farina tipo 1 da vecchio genotipo Frassinetto (molitura e pietra presso Molino Artigiano Frantoio Moro Fosdinovo, La Spezia)</w:t>
      </w:r>
      <w:r w:rsidRPr="005E29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(responsabile partner </w:t>
      </w:r>
      <w:proofErr w:type="spellStart"/>
      <w:r>
        <w:rPr>
          <w:rFonts w:ascii="Times New Roman" w:hAnsi="Times New Roman" w:cs="Times New Roman"/>
        </w:rPr>
        <w:t>azien</w:t>
      </w:r>
      <w:proofErr w:type="spellEnd"/>
    </w:p>
    <w:sectPr w:rsidR="00FA7991" w:rsidSect="00C14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9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BF"/>
    <w:rsid w:val="000535BF"/>
    <w:rsid w:val="000553D5"/>
    <w:rsid w:val="000F679A"/>
    <w:rsid w:val="003273C7"/>
    <w:rsid w:val="00344C6A"/>
    <w:rsid w:val="0034508D"/>
    <w:rsid w:val="003C3865"/>
    <w:rsid w:val="003F6B9F"/>
    <w:rsid w:val="003F7F9C"/>
    <w:rsid w:val="0042420A"/>
    <w:rsid w:val="00504FBB"/>
    <w:rsid w:val="00531863"/>
    <w:rsid w:val="005633B6"/>
    <w:rsid w:val="00647AFC"/>
    <w:rsid w:val="00771C5D"/>
    <w:rsid w:val="007E2B84"/>
    <w:rsid w:val="0085431A"/>
    <w:rsid w:val="00953F17"/>
    <w:rsid w:val="00A331B0"/>
    <w:rsid w:val="00B81A8F"/>
    <w:rsid w:val="00C14A22"/>
    <w:rsid w:val="00D11E56"/>
    <w:rsid w:val="00D63924"/>
    <w:rsid w:val="00D721E8"/>
    <w:rsid w:val="00D82C9C"/>
    <w:rsid w:val="00E16075"/>
    <w:rsid w:val="00E2521A"/>
    <w:rsid w:val="00E46153"/>
    <w:rsid w:val="00F82256"/>
    <w:rsid w:val="00FA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7B9E"/>
  <w15:docId w15:val="{26C84EA6-69EE-4FFE-A4CD-74ABE9D6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4508D"/>
    <w:pPr>
      <w:spacing w:before="375" w:after="225" w:line="360" w:lineRule="atLeast"/>
      <w:outlineLvl w:val="1"/>
    </w:pPr>
    <w:rPr>
      <w:rFonts w:ascii="Arial" w:eastAsia="Times New Roman" w:hAnsi="Arial" w:cs="Arial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508D"/>
    <w:pPr>
      <w:spacing w:before="375" w:after="225" w:line="270" w:lineRule="atLeast"/>
      <w:outlineLvl w:val="2"/>
    </w:pPr>
    <w:rPr>
      <w:rFonts w:ascii="Arial" w:eastAsia="Times New Roman" w:hAnsi="Arial" w:cs="Arial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BF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rsid w:val="00344C6A"/>
    <w:pPr>
      <w:suppressAutoHyphens/>
      <w:spacing w:after="160" w:line="259" w:lineRule="auto"/>
    </w:pPr>
    <w:rPr>
      <w:rFonts w:ascii="Calibri" w:eastAsia="Calibri" w:hAnsi="Calibri" w:cs="font298"/>
      <w:kern w:val="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508D"/>
    <w:rPr>
      <w:rFonts w:ascii="Arial" w:eastAsia="Times New Roman" w:hAnsi="Arial" w:cs="Arial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508D"/>
    <w:rPr>
      <w:rFonts w:ascii="Arial" w:eastAsia="Times New Roman" w:hAnsi="Arial" w:cs="Arial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508D"/>
    <w:rPr>
      <w:strike w:val="0"/>
      <w:dstrike w:val="0"/>
      <w:color w:val="4488BB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4508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7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62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319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613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102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ornelia-liguria" TargetMode="External"/><Relationship Id="rId13" Type="http://schemas.openxmlformats.org/officeDocument/2006/relationships/hyperlink" Target="http://www.brollomisto.it/blog-grano-san-pastore-tradizione-innovativa/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rnelia-Gruppo-Operativo-Regione-Liguria-117624440145703" TargetMode="External"/><Relationship Id="rId12" Type="http://schemas.openxmlformats.org/officeDocument/2006/relationships/hyperlink" Target="http://www.granorisciola.it/il-grano-risciola" TargetMode="External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germoplasma.regione.toscana.it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ivano moscamora</cp:lastModifiedBy>
  <cp:revision>2</cp:revision>
  <dcterms:created xsi:type="dcterms:W3CDTF">2022-03-25T16:26:00Z</dcterms:created>
  <dcterms:modified xsi:type="dcterms:W3CDTF">2022-03-25T16:26:00Z</dcterms:modified>
</cp:coreProperties>
</file>